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UF Sustainability Committee Meeting Minutes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12-14-2017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12:30pm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Reitz Union Rm 3305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Attendance: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John Duncan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Maya Patel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Terry Harpold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Ernesto Escoto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Ariel Pomputius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Les Thiele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Madison Smith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Ravish Paul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Phone: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Amy Stein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Ravi Srinivasan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Liz Storn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Ann Lindell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Mark Robinson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Approval of minutes of October and November meetings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Motion: Ernesto Escoto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Second: Les Thiele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Unanimously approved by committee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Office of Sustainability Update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Collection Day successful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Worked with Habitat for Humanity Thrift Store for first time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Gator Gears Takeback complete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Maya Patel: Campus Community Partnership pilot program finished its first semester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Fall courses worked with undergraduate classes, Spring classes will work with graduate students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Partnership Community Weatherization Coalition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STARS updates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Library Open-Access (Ann Lindell)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Currently on hiatus but should be active again in January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It has been very popular with funds being spent down earlier than anticipated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Updated guidelines are on library website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Future funding is on Provost’s desk for approval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Faculty Research Support (Ravi Srinivasan)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Will plan to update next meeting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Student Research Support (Les)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Met with Provost Lindner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Support approved for GAs for fall and spring for working with UF CARES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Relevant Data from Other STARS Submissions was sent out with agenda for review by committee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Once reviewed, please share opportunities/strategies used by other schools that may apply for UF’s advancement in STARS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Paper Policy Recommendation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John Duncan reviewed other large land grant universities with forestry programs for paper policies to compare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Schools had a wide variety of policies from no specifications to very strict specifications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Many policies lacked enforcement or specific guidelines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Review of highlighted examples of nonspecific and specific policies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 document will be included in the minutes with applicable examples from other universities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Some states such as Iowa and Georgia have state mandated policies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Discussion of possible specifics to include in a UF policy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Chlorine free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Sustainably forested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Etc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Review of UF’s purchasing history based on prior STARS submissions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30% standard is the current EPA recommendation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 recommendation for 30% seems to make the most sense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Need to work with purchasing to negotiate a good deal on this paper 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UC Berkeley has negotiated for a very good deal on 100% recycled content paper (Ernesto Escoto)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Possibility to create phase-in goals discussed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Discussion of a “buy local” policy to try and keep more florida land in forestry over agricultural or development use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Is it possible to purchase southeaster sourced paper?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is a recommendation that can be made and then worked with by the committee and purchasing to try and balance these concerns?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John Duncan will contact FIU to inquire about the process they went through to reach their policy of requiring 30% recycled content paper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Liz Storn will reach out to purchasing to inquire about possibilities for locally sourced paper and option for deals on recycled content paper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Performance Assessment Sustainability Inclusion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Discussion of including sustainability in the annual performance assessment process while UF is undergoing revisions to the process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Business Affairs includes sustainability in their individual employee reviews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Terry Harpold expressed concerns that this may unduly burden service staff because of the nature of their jobs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 wider definition of sustainability being applied here may be helpful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Including diversity, access to resources, equality, etc in addition to the typical aspects of sustainability such as waste and energy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Discussion of a “Sustainability Bonus” or recognition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Committee already assists with Champions for Change awards, which is a similar concept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Could include language encouraging empowerment of staff by supervisors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Additionally, an encouragement of using sustainability topics and behaviors in their praise for employees during the performance review process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John Duncan will determine who to contact and the process for the committee submitting a memo or suggestion regarding this topic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Highlighting Sustainability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Two new health facilities at UF Health have earned 4/4 green globes (first in country)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UF is piloting a self standing solar charging station in Turlington Plaza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Meeting adjourned 1:48pm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