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Sustainability Committee Meeting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03/16/2017 - 1:00pm - Reitz Union 2340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Attendance: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Matthew Williams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Terry Harpold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Ann Lindell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Phone: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Ruth Steiner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Approval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approved unanimously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Champions for Change Nominee Evaluation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selection process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 Matt Williams, in prior years categories such as Best Group, Best Student Organization, Waste, Energy, Etc.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members each gave their top-five choices from the nominees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each of the highest ranking choices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Winners: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Florida Microplastics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Wendell Porter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Department of housing Social Justice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Field &amp; Fork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Center for Humanities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PPD Refuse Department was a very close choice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will draft a letter to recognize those not selected and indicate their appreciation of the work completed by the nominees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letter will be sent signed by Chair Looney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Office of Sustainability website will host a list of the winners with a description of their nomination criteria to publicly recognize their achievements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Process for 2018 Champions for Change Awards Nomination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sub-committee will be assigned in August 2017 to determine protocol for the 2018 C4C nominee selection process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a contract is complete for Earth Day keynote speaker, the Office of Sustainability will begin its advertising campaign to let the public know about the event on April 12th.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C4C ceremony will take place at 4:00pm, speaker at 5:00pm at Emerson Alumni Hall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2:10pm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